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XII/101/2025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Gminy Karnice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31 marca 2025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opłaty prolongacyjnej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41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ust.1,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42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 samorządzie gminnym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1465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ze zm.) oraz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57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§ 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sierpnia 1997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- Ordynacja podatkowa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111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ze zm.)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Wprowadza się na terenie Gminy Karnice opłatę prolongacyjną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tytułu odroczenia terminu płatności lub rozłożenia na raty zapłaty podatku, opłaty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tytułu gospodarowanie odpadami komunalnymi oraz odroczenia lub rozłożenia zapłaty zaległości podatkowej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 opłaty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tytułu gospodarowania odpadami komunalnymi wraz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odsetkami za zwłokę.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Stawka opłaty prolongacyjnej wynosi 50% obniżonej stawki odsetek za zwłokę, ogłaszanej 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56d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sierpnia 1997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– Ordynacja podatkowa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2025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111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ze zm.).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Wykonanie Uchwały powierza się Wójtowi Gminy Karnice.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Traci moc Uchwała Nr XXI/166/2016 Rady Gminy Karnice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listopada 2016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roku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sprawie opłaty prolongacyjnej.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życie po upływie 14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 od dnia jej ogłoszenia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Dzienniku Urzędowym Województwa Zachodniopomorskiego.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Karnice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Stanisław Wolski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31182C40-F30F-4AD5-BD1E-9C7707B5B5AB.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Karnice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XII/101/2025 z dnia 31 marca 2025 r.</dc:title>
  <dc:subject>w sprawie opłaty prolongacyjnej</dc:subject>
  <dc:creator>user</dc:creator>
  <cp:lastModifiedBy>user</cp:lastModifiedBy>
  <cp:revision>1</cp:revision>
  <dcterms:created xsi:type="dcterms:W3CDTF">2025-04-04T13:04:44Z</dcterms:created>
  <dcterms:modified xsi:type="dcterms:W3CDTF">2025-04-04T13:04:44Z</dcterms:modified>
  <cp:category>Akt prawny</cp:category>
</cp:coreProperties>
</file>