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11B" w:rsidRPr="00487401" w:rsidRDefault="0039411B" w:rsidP="00487401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center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 xml:space="preserve"> Załącznik Nr 2</w:t>
      </w:r>
    </w:p>
    <w:p w:rsidR="0039411B" w:rsidRPr="00487401" w:rsidRDefault="0039411B" w:rsidP="00487401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center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do Uchwały Nr …/…/2025</w:t>
      </w:r>
    </w:p>
    <w:p w:rsidR="0039411B" w:rsidRPr="00487401" w:rsidRDefault="0039411B" w:rsidP="00487401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Rady Gminy Karnice</w:t>
      </w:r>
    </w:p>
    <w:p w:rsidR="0039411B" w:rsidRPr="00487401" w:rsidRDefault="0039411B" w:rsidP="00487401">
      <w:pPr>
        <w:widowControl/>
        <w:tabs>
          <w:tab w:val="left" w:pos="709"/>
          <w:tab w:val="left" w:pos="5103"/>
        </w:tabs>
        <w:suppressAutoHyphens/>
        <w:autoSpaceDN w:val="0"/>
        <w:spacing w:line="276" w:lineRule="auto"/>
        <w:ind w:firstLine="709"/>
        <w:jc w:val="center"/>
        <w:rPr>
          <w:rFonts w:ascii="Times New Roman" w:hAnsi="Times New Roman"/>
          <w:i/>
        </w:rPr>
      </w:pPr>
      <w:r w:rsidRPr="00487401">
        <w:rPr>
          <w:rFonts w:ascii="Times New Roman" w:hAnsi="Times New Roman"/>
          <w:i/>
        </w:rPr>
        <w:t>z dnia ……… 2025 roku</w:t>
      </w:r>
    </w:p>
    <w:p w:rsidR="0039411B" w:rsidRDefault="0039411B">
      <w:pPr>
        <w:pStyle w:val="TytuPublink"/>
        <w:keepNext/>
        <w:widowControl/>
      </w:pPr>
      <w:r>
        <w:t>Objaśnienia przyjętych wartości do Wieloletniej Prognozy Finansowej Gminy Karnice na lata 2025-2037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Zgodnie ze zmianami w budżecie dokonano następujących zmian w Wieloletniej Prognozie Finansowej Gminy Karnice:</w:t>
      </w:r>
    </w:p>
    <w:p w:rsidR="0039411B" w:rsidRDefault="0039411B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Dochody ogółem zwiększono o 5 134 899,87 zł, z czego dochody bieżące zwiększono o 34 990,45 zł, a dochody majątkowe zwiększono o 5 099 909,42 zł.</w:t>
      </w:r>
    </w:p>
    <w:p w:rsidR="0039411B" w:rsidRDefault="0039411B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Wydatki ogółem zwiększono o 5 766 612,84 zł, z czego wydatki bieżące zwiększono o 295 983,97 zł, a wydatki majątkowe zwiększono o 5 470 628,87 zł.</w:t>
      </w:r>
    </w:p>
    <w:p w:rsidR="0039411B" w:rsidRDefault="0039411B">
      <w:pPr>
        <w:pStyle w:val="ListaPublink"/>
        <w:widowControl/>
        <w:numPr>
          <w:ilvl w:val="0"/>
          <w:numId w:val="1"/>
        </w:numPr>
        <w:rPr>
          <w:bCs/>
        </w:rPr>
      </w:pPr>
      <w:r>
        <w:rPr>
          <w:bCs/>
        </w:rPr>
        <w:t>Wynik budżetu jest nadwyżkowy i po zmianach wynosi 1 903 997,82 zł.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Szczegółowe informacje na temat zmian w zakresie dochodów, wydatków i wyniku budżetu w roku budżetowym przedstawiono w tabeli poniżej.</w:t>
      </w:r>
    </w:p>
    <w:p w:rsidR="0039411B" w:rsidRDefault="0039411B">
      <w:pPr>
        <w:pStyle w:val="PodpistabeliPublink"/>
        <w:keepNext/>
        <w:widowControl/>
      </w:pPr>
      <w:r>
        <w:t>Zmiany w dochodach i wydatkach w 2025 roku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268"/>
        <w:gridCol w:w="2268"/>
        <w:gridCol w:w="2268"/>
      </w:tblGrid>
      <w:tr w:rsidR="0039411B" w:rsidRPr="0096734C" w:rsidTr="0096734C">
        <w:trPr>
          <w:tblHeader/>
        </w:trPr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Zmiana [zł]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Po zmianie [zł]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Dochody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46 803 135,50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+5 134 899,87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51 938 035,37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Dochody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30 742 700,64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+34 990,45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30 777 691,09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Subwencja ogólna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1 465 048,75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+38 274,00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1 503 322,75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Dotacje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2 521 327,84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+583 151,70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3 104 479,54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Pozostałe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18 025 954,60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-586 435,25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17 439 519,35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Dochody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16 060 434,86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+5 099 909,42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21 160 344,28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Wydatki ogółem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44 267 424,71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+5 766 612,84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50 034 037,55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28 263 226,70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+295 983,97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28 559 210,67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Wynagrodzenia i pochodne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13 495 901,52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+168 465,97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13 664 367,49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Pozostałe wydatki bieżące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14 197 325,18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+127 518,00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14 324 843,18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Wydatki majątkowe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16 004 198,01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+5 470 628,87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21 474 826,88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Wynik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2 535 710,79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-631 712,97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1 903 997,82</w:t>
            </w:r>
          </w:p>
        </w:tc>
      </w:tr>
    </w:tbl>
    <w:p w:rsidR="0039411B" w:rsidRDefault="0039411B">
      <w:pPr>
        <w:pStyle w:val="TekstPublink"/>
        <w:widowControl/>
        <w:rPr>
          <w:bCs/>
        </w:rPr>
      </w:pP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W Wieloletniej Prognozie Finansowej Gminy Karnice:</w:t>
      </w:r>
    </w:p>
    <w:p w:rsidR="0039411B" w:rsidRDefault="0039411B">
      <w:pPr>
        <w:pStyle w:val="ListaPublink"/>
        <w:widowControl/>
        <w:numPr>
          <w:ilvl w:val="0"/>
          <w:numId w:val="2"/>
        </w:numPr>
        <w:rPr>
          <w:bCs/>
        </w:rPr>
      </w:pPr>
      <w:r>
        <w:rPr>
          <w:bCs/>
        </w:rPr>
        <w:t>Przychody ogółem w roku budżetowym zwiększono o 3 131 712,97 zł, w tym przychody z tytułu kredytów, pożyczek lub emisji papierów wartościowych zwiększono o 2 500 000,00 zł.</w:t>
      </w:r>
    </w:p>
    <w:p w:rsidR="0039411B" w:rsidRDefault="0039411B">
      <w:pPr>
        <w:pStyle w:val="ListaPublink"/>
        <w:widowControl/>
        <w:numPr>
          <w:ilvl w:val="0"/>
          <w:numId w:val="2"/>
        </w:numPr>
        <w:rPr>
          <w:bCs/>
        </w:rPr>
      </w:pPr>
      <w:r>
        <w:rPr>
          <w:bCs/>
        </w:rPr>
        <w:t>Rozchody ogółem w roku budżetowym zwiększono o 2 500 000,00 zł, w tym z tytułu spłaty rat kapitałowych kredytów i pożyczek oraz wykupu papierów wartościowych zwiększono o 2 500 000,00 zł, zaś inne rozchody, niezwiązane ze spłatą długu, nie uległy zmianie.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Szczegółowe informacje na temat zmian w zakresie przychodów i rozchodów w roku budżetowym przedstawiono w tabeli poniżej.</w:t>
      </w:r>
    </w:p>
    <w:p w:rsidR="0039411B" w:rsidRDefault="0039411B">
      <w:pPr>
        <w:pStyle w:val="PodpistabeliPublink"/>
        <w:keepNext/>
        <w:widowControl/>
      </w:pPr>
      <w:r>
        <w:t>Zmiany w przychodach i rozchodach na 2025 rok.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68"/>
        <w:gridCol w:w="2268"/>
        <w:gridCol w:w="2268"/>
        <w:gridCol w:w="2268"/>
      </w:tblGrid>
      <w:tr w:rsidR="0039411B" w:rsidRPr="0096734C" w:rsidTr="0096734C">
        <w:trPr>
          <w:tblHeader/>
        </w:trPr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Wyszczególnienie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Zmiana [zł]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Po zmianie [zł]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Przychody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166 999,21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+3 131 712,97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3 298 712,18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Kredyty, pożyczki, emisja papierów wartościowych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+2 500 000,00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2 500 000,00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Nadwyżka budżetowa z lat ubiegłych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166 999,21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+631 712,97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798 712,18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</w:pPr>
            <w:r w:rsidRPr="0096734C">
              <w:t>Rozchody budżetu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2 702 710,00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+2 500 000,00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WyrnionakomrkatabeliPublink"/>
              <w:widowControl/>
              <w:jc w:val="right"/>
            </w:pPr>
            <w:r w:rsidRPr="0096734C">
              <w:t>5 202 710,00</w:t>
            </w:r>
          </w:p>
        </w:tc>
      </w:tr>
      <w:tr w:rsidR="0039411B" w:rsidRPr="0096734C" w:rsidTr="0096734C">
        <w:tc>
          <w:tcPr>
            <w:tcW w:w="1250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rPr>
                <w:bCs/>
              </w:rPr>
            </w:pPr>
            <w:r w:rsidRPr="0096734C">
              <w:rPr>
                <w:bCs/>
              </w:rPr>
              <w:t>Spłata rat kapitałowych i wykup obligacji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2 702 710,00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+2 500 000,00</w:t>
            </w:r>
          </w:p>
        </w:tc>
        <w:tc>
          <w:tcPr>
            <w:tcW w:w="1250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5 202 710,00</w:t>
            </w:r>
          </w:p>
        </w:tc>
      </w:tr>
    </w:tbl>
    <w:p w:rsidR="0039411B" w:rsidRDefault="0039411B">
      <w:pPr>
        <w:pStyle w:val="Podpistabeli2Publink"/>
        <w:widowControl/>
        <w:rPr>
          <w:bCs/>
        </w:rPr>
      </w:pPr>
      <w:r>
        <w:rPr>
          <w:bCs/>
        </w:rPr>
        <w:t>Źródło: opracowanie własne.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Od 2026 nie dokonywano zmian w zakresie planowanych przychodów.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Od 2026 nie dokonywano zmian w zakresie planowanych rozchodów.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Zmiany w Wieloletniej Prognozie Finansowej Gminy Karnice na lata 2025-2037 spowodowały modyfikacje w kształtowaniu się relacji z art. 243 ustawy o finansach publicznych. Szczegóły zaprezentowano w tabeli poniżej.</w:t>
      </w:r>
    </w:p>
    <w:p w:rsidR="0039411B" w:rsidRDefault="0039411B">
      <w:pPr>
        <w:pStyle w:val="PodpistabeliPublink"/>
        <w:keepNext/>
        <w:widowControl/>
      </w:pPr>
      <w:r>
        <w:t>Kształtowanie się relacji z art. 243 ust. 1 ustawy o finansach publicznych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68"/>
        <w:gridCol w:w="1726"/>
        <w:gridCol w:w="1468"/>
        <w:gridCol w:w="1468"/>
        <w:gridCol w:w="1469"/>
        <w:gridCol w:w="1473"/>
      </w:tblGrid>
      <w:tr w:rsidR="0039411B" w:rsidRPr="0096734C" w:rsidTr="0096734C">
        <w:trPr>
          <w:tblHeader/>
        </w:trPr>
        <w:tc>
          <w:tcPr>
            <w:tcW w:w="825" w:type="dxa"/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Rok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Obsługa zadłużenia (fakt. i plan. powyłączeniach)</w:t>
            </w:r>
          </w:p>
        </w:tc>
        <w:tc>
          <w:tcPr>
            <w:tcW w:w="1649" w:type="dxa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Maksymalna obsługa zadłużenia (wg planu po III kwartale)</w:t>
            </w:r>
          </w:p>
        </w:tc>
        <w:tc>
          <w:tcPr>
            <w:tcW w:w="1649" w:type="dxa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Zachowanie relacji z art. 243 (w oparciu o plan po III kwartale)</w:t>
            </w:r>
          </w:p>
        </w:tc>
        <w:tc>
          <w:tcPr>
            <w:tcW w:w="1649" w:type="dxa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Maksymalna obsługa zadłużenia (wg wykonania)</w:t>
            </w:r>
          </w:p>
        </w:tc>
        <w:tc>
          <w:tcPr>
            <w:tcW w:w="1649" w:type="dxa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NagwektabeliPublink"/>
              <w:widowControl/>
              <w:jc w:val="center"/>
            </w:pPr>
            <w:r w:rsidRPr="0096734C">
              <w:t>Zachowanie relacji z art. 243 (w oparciu o wykonanie)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14,38%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16,78%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16,81%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5,86%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13,94%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13,96%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5,64%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14,26%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14,28%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2028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3,35%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13,20%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13,22%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2029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3,24%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12,45%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12,46%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2030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3,00%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8,59%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8,60%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2031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2,74%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7,27%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7,28%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2032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2,86%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8,99%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8,99%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2033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2,78%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8,82%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8,82%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2034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2,18%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8,77%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8,77%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2035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2,06%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8,76%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8,76%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2036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1,90%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8,83%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8,83%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  <w:tr w:rsidR="0039411B" w:rsidRPr="0096734C" w:rsidTr="0096734C">
        <w:tc>
          <w:tcPr>
            <w:tcW w:w="833" w:type="pct"/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2037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2,69%</w:t>
            </w:r>
          </w:p>
        </w:tc>
        <w:tc>
          <w:tcPr>
            <w:tcW w:w="833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8,88%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  <w:tc>
          <w:tcPr>
            <w:tcW w:w="833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right"/>
              <w:rPr>
                <w:bCs/>
              </w:rPr>
            </w:pPr>
            <w:r w:rsidRPr="0096734C">
              <w:rPr>
                <w:bCs/>
              </w:rPr>
              <w:t>8,88%</w:t>
            </w:r>
          </w:p>
        </w:tc>
        <w:tc>
          <w:tcPr>
            <w:tcW w:w="835" w:type="pct"/>
            <w:tcMar>
              <w:top w:w="19" w:type="dxa"/>
              <w:bottom w:w="19" w:type="dxa"/>
            </w:tcMar>
            <w:vAlign w:val="center"/>
          </w:tcPr>
          <w:p w:rsidR="0039411B" w:rsidRPr="0096734C" w:rsidRDefault="0039411B" w:rsidP="0096734C">
            <w:pPr>
              <w:pStyle w:val="KomrkatabeliPublink"/>
              <w:widowControl/>
              <w:jc w:val="center"/>
              <w:rPr>
                <w:bCs/>
              </w:rPr>
            </w:pPr>
            <w:r w:rsidRPr="0096734C">
              <w:rPr>
                <w:bCs/>
              </w:rPr>
              <w:t>TAK</w:t>
            </w:r>
          </w:p>
        </w:tc>
      </w:tr>
    </w:tbl>
    <w:p w:rsidR="0039411B" w:rsidRDefault="0039411B">
      <w:pPr>
        <w:pStyle w:val="TekstPublink"/>
        <w:widowControl/>
        <w:rPr>
          <w:bCs/>
        </w:rPr>
      </w:pP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Dane w tabeli powyżej wskazują, że w całym okresie prognozy Gmina Karnice spełnia relację, o której mowa w art. 243 ust. 1 ustawy o finansach publicznych. Spełnienie dotyczy zarówno relacji obliczonej na podstawie planu na dzień 30.09.2024 r. jak i w oparciu o dane z wykonania budżetu.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Zmiana Wieloletniej Prognozy Finansowej Gminy Karnice obejmuje również zmiany w załączniku nr 3, które szczegółowo opisano poniżej.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Dokonano zmian w zakresie następujących przedsięwzięć:</w:t>
      </w:r>
    </w:p>
    <w:p w:rsidR="0039411B" w:rsidRDefault="0039411B">
      <w:pPr>
        <w:pStyle w:val="ListaPublink"/>
        <w:widowControl/>
        <w:numPr>
          <w:ilvl w:val="0"/>
          <w:numId w:val="3"/>
        </w:numPr>
        <w:rPr>
          <w:bCs/>
        </w:rPr>
      </w:pPr>
      <w:r>
        <w:rPr>
          <w:bCs/>
        </w:rPr>
        <w:t>Przebudowa dróg w Karnicach, Czaplinie Małym i Gościmierzu;</w:t>
      </w:r>
    </w:p>
    <w:p w:rsidR="0039411B" w:rsidRDefault="0039411B">
      <w:pPr>
        <w:pStyle w:val="ListaPublink"/>
        <w:widowControl/>
        <w:numPr>
          <w:ilvl w:val="0"/>
          <w:numId w:val="3"/>
        </w:numPr>
        <w:rPr>
          <w:bCs/>
        </w:rPr>
      </w:pPr>
      <w:r>
        <w:rPr>
          <w:bCs/>
        </w:rPr>
        <w:t>Budowa gminnego żłobka "Maluszek".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39411B" w:rsidRDefault="0039411B">
      <w:pPr>
        <w:pStyle w:val="TekstPublink"/>
        <w:widowControl/>
        <w:rPr>
          <w:bCs/>
        </w:rPr>
      </w:pPr>
      <w:r>
        <w:rPr>
          <w:bCs/>
        </w:rPr>
        <w:t>Pełen zakres zmian obrazują załączniki nr 1 i 3 do niniejszej uch</w:t>
      </w:r>
      <w:bookmarkStart w:id="0" w:name="_GoBack"/>
      <w:bookmarkEnd w:id="0"/>
      <w:r>
        <w:rPr>
          <w:bCs/>
        </w:rPr>
        <w:t>wały.</w:t>
      </w:r>
    </w:p>
    <w:sectPr w:rsidR="0039411B" w:rsidSect="008A1F86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EF975"/>
    <w:multiLevelType w:val="multilevel"/>
    <w:tmpl w:val="76F4E8C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">
    <w:nsid w:val="239A8ED0"/>
    <w:multiLevelType w:val="multilevel"/>
    <w:tmpl w:val="7CD8D306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">
    <w:nsid w:val="55AC205D"/>
    <w:multiLevelType w:val="multilevel"/>
    <w:tmpl w:val="0A748990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compressPunctuation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368B"/>
    <w:rsid w:val="001E368B"/>
    <w:rsid w:val="0039411B"/>
    <w:rsid w:val="00487401"/>
    <w:rsid w:val="008A1F86"/>
    <w:rsid w:val="0096734C"/>
    <w:rsid w:val="00BA7A5D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F86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ytuPublink">
    <w:name w:val="Tytuł (Publink)"/>
    <w:basedOn w:val="Normal"/>
    <w:uiPriority w:val="99"/>
    <w:rsid w:val="008A1F86"/>
    <w:pPr>
      <w:spacing w:before="160" w:after="3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"/>
    <w:uiPriority w:val="99"/>
    <w:rsid w:val="008A1F86"/>
    <w:pPr>
      <w:spacing w:before="160" w:after="320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"/>
    <w:uiPriority w:val="99"/>
    <w:rsid w:val="008A1F86"/>
    <w:pPr>
      <w:spacing w:after="160"/>
      <w:jc w:val="both"/>
    </w:pPr>
    <w:rPr>
      <w:rFonts w:ascii="Arial" w:hAnsi="Arial" w:cs="Arial"/>
      <w:sz w:val="20"/>
      <w:szCs w:val="20"/>
    </w:rPr>
  </w:style>
  <w:style w:type="paragraph" w:customStyle="1" w:styleId="Nagwek1Publink">
    <w:name w:val="Nagłówek 1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"/>
    <w:uiPriority w:val="99"/>
    <w:rsid w:val="008A1F86"/>
    <w:pPr>
      <w:spacing w:before="160" w:after="160"/>
      <w:contextualSpacing/>
    </w:pPr>
    <w:rPr>
      <w:rFonts w:ascii="Arial" w:hAnsi="Arial" w:cs="Arial"/>
      <w:b/>
      <w:bCs/>
    </w:rPr>
  </w:style>
  <w:style w:type="paragraph" w:customStyle="1" w:styleId="PodpistabeliPublink">
    <w:name w:val="Podpis tabeli (Publink)"/>
    <w:basedOn w:val="TekstPublink"/>
    <w:uiPriority w:val="99"/>
    <w:rsid w:val="008A1F86"/>
    <w:pPr>
      <w:spacing w:before="160" w:after="0"/>
      <w:jc w:val="left"/>
    </w:pPr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8A1F86"/>
    <w:pPr>
      <w:contextualSpacing/>
      <w:jc w:val="left"/>
    </w:pPr>
  </w:style>
  <w:style w:type="paragraph" w:customStyle="1" w:styleId="ListaPublink">
    <w:name w:val="Lista (Publink)"/>
    <w:basedOn w:val="TekstPublink"/>
    <w:uiPriority w:val="99"/>
    <w:rsid w:val="008A1F86"/>
    <w:pPr>
      <w:contextualSpacing/>
      <w:jc w:val="left"/>
    </w:pPr>
  </w:style>
  <w:style w:type="paragraph" w:customStyle="1" w:styleId="NagwektabeliPublink">
    <w:name w:val="Nagłówek tabeli (Publink)"/>
    <w:basedOn w:val="TekstPublink"/>
    <w:uiPriority w:val="99"/>
    <w:rsid w:val="008A1F86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8A1F86"/>
    <w:pPr>
      <w:spacing w:after="0"/>
      <w:jc w:val="left"/>
    </w:pPr>
  </w:style>
  <w:style w:type="paragraph" w:customStyle="1" w:styleId="AdnotacjaPublink">
    <w:name w:val="Adnotacja (Publink)"/>
    <w:basedOn w:val="TekstPublink"/>
    <w:uiPriority w:val="99"/>
    <w:rsid w:val="008A1F86"/>
    <w:pPr>
      <w:jc w:val="right"/>
    </w:pPr>
    <w:rPr>
      <w:i/>
      <w:iCs/>
    </w:rPr>
  </w:style>
  <w:style w:type="paragraph" w:customStyle="1" w:styleId="WyrnionakomrkatabeliPublink">
    <w:name w:val="Wyróżniona komórka tabeli (Publink)"/>
    <w:basedOn w:val="KomrkatabeliPublink"/>
    <w:uiPriority w:val="99"/>
    <w:rsid w:val="008A1F86"/>
    <w:rPr>
      <w:b/>
      <w:bCs/>
    </w:rPr>
  </w:style>
  <w:style w:type="character" w:styleId="LineNumber">
    <w:name w:val="line number"/>
    <w:basedOn w:val="DefaultParagraphFont"/>
    <w:uiPriority w:val="99"/>
    <w:semiHidden/>
    <w:rsid w:val="008A1F86"/>
    <w:rPr>
      <w:rFonts w:cs="Times New Roman"/>
    </w:rPr>
  </w:style>
  <w:style w:type="character" w:styleId="Hyperlink">
    <w:name w:val="Hyperlink"/>
    <w:basedOn w:val="DefaultParagraphFont"/>
    <w:uiPriority w:val="99"/>
    <w:rsid w:val="008A1F86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8A1F86"/>
    <w:pPr>
      <w:widowControl w:val="0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36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667</Words>
  <Characters>4005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Załącznik Nr 2</dc:title>
  <dc:subject/>
  <dc:creator/>
  <cp:keywords/>
  <dc:description/>
  <cp:lastModifiedBy>Lech Puzdrowski</cp:lastModifiedBy>
  <cp:revision>2</cp:revision>
  <dcterms:created xsi:type="dcterms:W3CDTF">2025-04-24T11:30:00Z</dcterms:created>
  <dcterms:modified xsi:type="dcterms:W3CDTF">2025-04-24T11:30:00Z</dcterms:modified>
</cp:coreProperties>
</file>