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E7" w:rsidRPr="00487401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 Załącznik Nr 2</w:t>
      </w:r>
    </w:p>
    <w:p w:rsidR="00734BE7" w:rsidRPr="00487401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Uchwały Nr </w:t>
      </w:r>
      <w:r w:rsidR="0046433A">
        <w:rPr>
          <w:rFonts w:ascii="Times New Roman" w:hAnsi="Times New Roman"/>
          <w:i/>
        </w:rPr>
        <w:t>XVI/125</w:t>
      </w:r>
      <w:r w:rsidRPr="00487401">
        <w:rPr>
          <w:rFonts w:ascii="Times New Roman" w:hAnsi="Times New Roman"/>
          <w:i/>
        </w:rPr>
        <w:t>/2025</w:t>
      </w:r>
    </w:p>
    <w:p w:rsidR="00734BE7" w:rsidRPr="00487401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Rady Gminy Karnice</w:t>
      </w:r>
    </w:p>
    <w:p w:rsidR="00734BE7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z dnia </w:t>
      </w:r>
      <w:r w:rsidR="0046433A">
        <w:rPr>
          <w:rFonts w:ascii="Times New Roman" w:hAnsi="Times New Roman"/>
          <w:i/>
        </w:rPr>
        <w:t>30</w:t>
      </w:r>
      <w:bookmarkStart w:id="0" w:name="_GoBack"/>
      <w:bookmarkEnd w:id="0"/>
      <w:r>
        <w:rPr>
          <w:rFonts w:ascii="Times New Roman" w:hAnsi="Times New Roman"/>
          <w:i/>
        </w:rPr>
        <w:t xml:space="preserve"> września</w:t>
      </w:r>
      <w:r w:rsidRPr="00487401">
        <w:rPr>
          <w:rFonts w:ascii="Times New Roman" w:hAnsi="Times New Roman"/>
          <w:i/>
        </w:rPr>
        <w:t xml:space="preserve"> 2025 roku</w:t>
      </w:r>
    </w:p>
    <w:p w:rsidR="00734BE7" w:rsidRDefault="00734BE7" w:rsidP="001140F2">
      <w:pPr>
        <w:pStyle w:val="TytuPublink"/>
        <w:keepNext/>
      </w:pPr>
      <w:r>
        <w:t>Objaśnienia przyjętych wartości do Wieloletniej Prognozy Finansowej Gminy Karnice na lata 2025-2037</w:t>
      </w:r>
    </w:p>
    <w:p w:rsidR="00734BE7" w:rsidRDefault="00734BE7" w:rsidP="001140F2">
      <w:pPr>
        <w:pStyle w:val="TekstPublink"/>
        <w:jc w:val="left"/>
      </w:pPr>
      <w:r>
        <w:t>Zgodnie ze zmianami w budżecie dokonano następujących zmian w Wieloletniej Prognozie Finansowej Gminy Karnice:</w:t>
      </w:r>
    </w:p>
    <w:p w:rsidR="00734BE7" w:rsidRDefault="00734BE7" w:rsidP="001140F2">
      <w:pPr>
        <w:pStyle w:val="ListaPublink"/>
        <w:widowControl/>
        <w:numPr>
          <w:ilvl w:val="0"/>
          <w:numId w:val="12"/>
        </w:numPr>
      </w:pPr>
      <w:r>
        <w:t>Dochody ogółem zwiększono o 80 796,32 zł, z czego dochody bieżące zwiększono o 73 646,12 zł, a dochody majątkowe zwiększono o 7 150,20 zł.</w:t>
      </w:r>
    </w:p>
    <w:p w:rsidR="00734BE7" w:rsidRDefault="00734BE7" w:rsidP="001140F2">
      <w:pPr>
        <w:pStyle w:val="ListaPublink"/>
        <w:widowControl/>
        <w:numPr>
          <w:ilvl w:val="0"/>
          <w:numId w:val="12"/>
        </w:numPr>
      </w:pPr>
      <w:r>
        <w:t>Wydatki ogółem zwiększono o 80 796,32 zł, z czego wydatki bieżące zwiększono o 157 756,79 zł, a wydatki majątkowe zmniejszono o 76 960,47 zł.</w:t>
      </w:r>
    </w:p>
    <w:p w:rsidR="00734BE7" w:rsidRDefault="00734BE7" w:rsidP="001140F2">
      <w:pPr>
        <w:pStyle w:val="ListaPublink"/>
        <w:widowControl/>
        <w:numPr>
          <w:ilvl w:val="0"/>
          <w:numId w:val="12"/>
        </w:numPr>
      </w:pPr>
      <w:r>
        <w:t>Wynik budżetu nie uległ zmianie.</w:t>
      </w:r>
    </w:p>
    <w:p w:rsidR="00734BE7" w:rsidRDefault="00734BE7" w:rsidP="001140F2">
      <w:pPr>
        <w:pStyle w:val="TekstPublink"/>
      </w:pPr>
      <w:r>
        <w:t>Szczegółowe informacje na temat zmian w zakresie dochodów, wydatków i wyniku budżetu w roku budżetowym przedstawiono w tabeli poniżej.</w:t>
      </w:r>
    </w:p>
    <w:p w:rsidR="00734BE7" w:rsidRDefault="00734BE7" w:rsidP="001140F2">
      <w:pPr>
        <w:pStyle w:val="PodpistabeliPublink"/>
        <w:keepNext/>
        <w:widowControl/>
      </w:pPr>
      <w:r>
        <w:t>Zmiany w dochodach i wydatkach w 2025 roku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34BE7" w:rsidTr="00500E09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Po zmianie [zł]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52 772 305,56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+80 796,32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52 853 101,88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31 322 730,21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+73 646,12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31 396 376,33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3 388 379,66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+164 492,70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3 552 872,36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17 700 658,35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-90 846,58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17 609 811,77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21 449 575,35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+7 150,20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21 456 725,55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50 888 929,67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+80 796,32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50 969 725,99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28 951 726,68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+156 756,79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29 108 483,47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13 672 721,87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-51 794,71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13 620 927,16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14 709 004,81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6D7201">
            <w:pPr>
              <w:pStyle w:val="KomrkatabeliPublink"/>
              <w:widowControl/>
              <w:jc w:val="right"/>
            </w:pPr>
            <w:r>
              <w:t>+208 551,50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14 917 556,31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21 937 202,99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-75 960,47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21 861 242,52</w:t>
            </w:r>
          </w:p>
        </w:tc>
      </w:tr>
    </w:tbl>
    <w:p w:rsidR="00734BE7" w:rsidRDefault="00734BE7" w:rsidP="001140F2">
      <w:pPr>
        <w:pStyle w:val="TekstPublink"/>
      </w:pPr>
    </w:p>
    <w:p w:rsidR="00734BE7" w:rsidRDefault="00734BE7" w:rsidP="001140F2">
      <w:pPr>
        <w:pStyle w:val="TekstPublink"/>
      </w:pPr>
      <w:r>
        <w:t>W Wieloletniej Prognozie Finansowej Gminy Karnice:</w:t>
      </w:r>
    </w:p>
    <w:p w:rsidR="00734BE7" w:rsidRDefault="00734BE7" w:rsidP="001140F2">
      <w:pPr>
        <w:pStyle w:val="ListaPublink"/>
        <w:widowControl/>
        <w:numPr>
          <w:ilvl w:val="0"/>
          <w:numId w:val="13"/>
        </w:numPr>
      </w:pPr>
      <w:r>
        <w:t>Przychody ogółem w roku budżetowym nie uległy zmianie.</w:t>
      </w:r>
    </w:p>
    <w:p w:rsidR="00734BE7" w:rsidRDefault="00734BE7" w:rsidP="001140F2">
      <w:pPr>
        <w:pStyle w:val="ListaPublink"/>
        <w:widowControl/>
        <w:numPr>
          <w:ilvl w:val="0"/>
          <w:numId w:val="13"/>
        </w:numPr>
      </w:pPr>
      <w:r>
        <w:t>Rozchody ogółem w roku budżetowym nie uległy zmianie.</w:t>
      </w:r>
    </w:p>
    <w:p w:rsidR="00734BE7" w:rsidRDefault="00734BE7" w:rsidP="001140F2">
      <w:pPr>
        <w:pStyle w:val="TekstPublink"/>
      </w:pPr>
      <w:r>
        <w:t>Od 2026 nie dokonywano zmian w zakresie planowanych przychodów.</w:t>
      </w:r>
    </w:p>
    <w:p w:rsidR="00734BE7" w:rsidRDefault="00734BE7" w:rsidP="001140F2">
      <w:pPr>
        <w:pStyle w:val="TekstPublink"/>
      </w:pPr>
      <w:r>
        <w:t>Od 2026 nie dokonywano zmian w zakresie planowanych rozchodów.</w:t>
      </w:r>
    </w:p>
    <w:p w:rsidR="00734BE7" w:rsidRDefault="00734BE7" w:rsidP="001140F2">
      <w:pPr>
        <w:pStyle w:val="TekstPublink"/>
      </w:pPr>
      <w:r>
        <w:t>Zmiany w Wieloletniej Prognozie Finansowej Gminy Karnice na lata 2025-2037 spowodowały modyfikacje w kształtowaniu się relacji z art. 243 ustawy o finansach publicznych. Szczegóły zaprezentowano w tabeli poniżej.</w:t>
      </w:r>
    </w:p>
    <w:p w:rsidR="00734BE7" w:rsidRDefault="00734BE7" w:rsidP="001140F2">
      <w:pPr>
        <w:pStyle w:val="PodpistabeliPublink"/>
        <w:keepNext/>
        <w:widowControl/>
      </w:pPr>
      <w:r>
        <w:t>Kształtowanie się relacji z art. 243 ust. 1 ustawy o finansach publicznych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1"/>
        <w:gridCol w:w="1511"/>
        <w:gridCol w:w="1511"/>
        <w:gridCol w:w="1515"/>
      </w:tblGrid>
      <w:tr w:rsidR="00734BE7" w:rsidTr="00500E09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 xml:space="preserve">Obsługa zadłużenia (fakt. i plan. po </w:t>
            </w:r>
            <w:proofErr w:type="spellStart"/>
            <w:r>
              <w:t>wyłączeniach</w:t>
            </w:r>
            <w:proofErr w:type="spellEnd"/>
            <w:r>
              <w:t>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Zachowanie relacji z art. 243 (w oparciu o wykonanie)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5,32%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16,78%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16,81%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5,88%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13,97%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13,98%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5,66%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14,29%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14,30%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3,37%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13,23%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13,24%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12,47%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12,48%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lastRenderedPageBreak/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3,02%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8,61%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8,62%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2,73%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7,29%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7,30%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2,87%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9,00%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9,00%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2,79%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2,20%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2,07%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1,90%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2,69%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</w:tbl>
    <w:p w:rsidR="00734BE7" w:rsidRDefault="00734BE7" w:rsidP="001140F2">
      <w:pPr>
        <w:pStyle w:val="TekstPublink"/>
      </w:pPr>
    </w:p>
    <w:p w:rsidR="00734BE7" w:rsidRDefault="00734BE7" w:rsidP="001140F2">
      <w:pPr>
        <w:pStyle w:val="TekstPublink"/>
      </w:pPr>
      <w:r>
        <w:t>Dane w tabeli powyżej wskazują, że w całym okresie prognozy Gmina Karnice spełnia relację, o której mowa w art. 243 ust. 1 ustawy o finansach publicznych. Spełnienie dotyczy zarówno relacji obliczonej na podstawie planu na dzień 30.09.2024 r. jak i w oparciu o dane z wykonania budżetu.</w:t>
      </w:r>
    </w:p>
    <w:p w:rsidR="00734BE7" w:rsidRDefault="00734BE7" w:rsidP="001140F2">
      <w:pPr>
        <w:pStyle w:val="TekstPublink"/>
      </w:pPr>
      <w:r>
        <w:t>Zmiana Wieloletniej Prognozy Finansowej Gminy Karnice obejmuje również zmiany w załączniku nr 3, które szczegółowo opisano poniżej.</w:t>
      </w:r>
    </w:p>
    <w:p w:rsidR="00734BE7" w:rsidRDefault="00734BE7" w:rsidP="001140F2">
      <w:pPr>
        <w:pStyle w:val="TekstPublink"/>
      </w:pPr>
      <w:r>
        <w:t>Do załącznika przedsięwzięć dodano następujące przedsięwzięcia:</w:t>
      </w:r>
    </w:p>
    <w:p w:rsidR="00734BE7" w:rsidRDefault="00734BE7" w:rsidP="001140F2">
      <w:pPr>
        <w:pStyle w:val="ListaPublink"/>
        <w:widowControl/>
        <w:numPr>
          <w:ilvl w:val="0"/>
          <w:numId w:val="14"/>
        </w:numPr>
      </w:pPr>
      <w:r>
        <w:t>Wyposażenie jednostek OSP Karnice i Cerkwica w sprzęt wykorzystywany w sytuacjach wystąpienia zagrożeń związanych z zachodzącymi zmianami klimatu, zmianami w środowisku naturalnym oraz zagrożeniami cywilizacyjnymi.</w:t>
      </w:r>
    </w:p>
    <w:p w:rsidR="00734BE7" w:rsidRDefault="00734BE7" w:rsidP="001140F2">
      <w:pPr>
        <w:pStyle w:val="TekstPublink"/>
      </w:pPr>
      <w:r>
        <w:t>Dokonano zmian w zakresie następujących przedsięwzięć:</w:t>
      </w:r>
    </w:p>
    <w:p w:rsidR="00734BE7" w:rsidRDefault="00734BE7" w:rsidP="001140F2">
      <w:pPr>
        <w:pStyle w:val="ListaPublink"/>
        <w:widowControl/>
        <w:numPr>
          <w:ilvl w:val="0"/>
          <w:numId w:val="15"/>
        </w:numPr>
      </w:pPr>
      <w:r>
        <w:t>Projekt modernizacji sieci wodociągowej w Karnicach i Cerkwicy.</w:t>
      </w:r>
    </w:p>
    <w:p w:rsidR="00734BE7" w:rsidRDefault="00734BE7" w:rsidP="001140F2">
      <w:pPr>
        <w:pStyle w:val="TekstPublink"/>
      </w:pPr>
      <w: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734BE7" w:rsidRDefault="00734BE7" w:rsidP="001140F2">
      <w:pPr>
        <w:pStyle w:val="TekstPublink"/>
      </w:pPr>
      <w:r>
        <w:t>Pełen zakres zmian obrazują załączniki nr 1 i 3 do niniejszej uchwały.</w:t>
      </w:r>
    </w:p>
    <w:p w:rsidR="00734BE7" w:rsidRPr="001140F2" w:rsidRDefault="00734BE7" w:rsidP="001140F2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rPr>
          <w:rFonts w:ascii="Times New Roman" w:hAnsi="Times New Roman"/>
        </w:rPr>
      </w:pPr>
    </w:p>
    <w:sectPr w:rsidR="00734BE7" w:rsidRPr="001140F2" w:rsidSect="008A1F86">
      <w:pgSz w:w="11906" w:h="16838"/>
      <w:pgMar w:top="992" w:right="1417" w:bottom="992" w:left="1417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2410"/>
    <w:multiLevelType w:val="multilevel"/>
    <w:tmpl w:val="1DC20DE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16BA6CB7"/>
    <w:multiLevelType w:val="multilevel"/>
    <w:tmpl w:val="F2A4090C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22BEF975"/>
    <w:multiLevelType w:val="multilevel"/>
    <w:tmpl w:val="76F4E8C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2358FFA5"/>
    <w:multiLevelType w:val="multilevel"/>
    <w:tmpl w:val="30A2441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239A8ED0"/>
    <w:multiLevelType w:val="multilevel"/>
    <w:tmpl w:val="7CD8D30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>
    <w:nsid w:val="280D2006"/>
    <w:multiLevelType w:val="multilevel"/>
    <w:tmpl w:val="0303443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2D7A0AFE"/>
    <w:multiLevelType w:val="multilevel"/>
    <w:tmpl w:val="031D65B3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39868CC5"/>
    <w:multiLevelType w:val="multilevel"/>
    <w:tmpl w:val="DACA31C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46605CA7"/>
    <w:multiLevelType w:val="multilevel"/>
    <w:tmpl w:val="7F24FA5A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4A2BB153"/>
    <w:multiLevelType w:val="multilevel"/>
    <w:tmpl w:val="0008935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0">
    <w:nsid w:val="4ECB8FC0"/>
    <w:multiLevelType w:val="multilevel"/>
    <w:tmpl w:val="FED0114E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1">
    <w:nsid w:val="51BA1E1C"/>
    <w:multiLevelType w:val="multilevel"/>
    <w:tmpl w:val="004D2DE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2">
    <w:nsid w:val="55AC205D"/>
    <w:multiLevelType w:val="multilevel"/>
    <w:tmpl w:val="0A74899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3">
    <w:nsid w:val="5E77FD52"/>
    <w:multiLevelType w:val="multilevel"/>
    <w:tmpl w:val="92BA73C8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4">
    <w:nsid w:val="7A62FAE6"/>
    <w:multiLevelType w:val="multilevel"/>
    <w:tmpl w:val="1ADA62A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20"/>
  <w:hyphenationZone w:val="425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68B"/>
    <w:rsid w:val="001140F2"/>
    <w:rsid w:val="00127FD8"/>
    <w:rsid w:val="00173E7C"/>
    <w:rsid w:val="00183CCD"/>
    <w:rsid w:val="001E368B"/>
    <w:rsid w:val="00375E10"/>
    <w:rsid w:val="0039411B"/>
    <w:rsid w:val="0046433A"/>
    <w:rsid w:val="00487401"/>
    <w:rsid w:val="004E5965"/>
    <w:rsid w:val="00500E09"/>
    <w:rsid w:val="006D7201"/>
    <w:rsid w:val="00734BE7"/>
    <w:rsid w:val="007F3162"/>
    <w:rsid w:val="008A1F86"/>
    <w:rsid w:val="008E100A"/>
    <w:rsid w:val="008E36EC"/>
    <w:rsid w:val="008F736A"/>
    <w:rsid w:val="0096734C"/>
    <w:rsid w:val="009E53E8"/>
    <w:rsid w:val="00BA7A5D"/>
    <w:rsid w:val="00C13A17"/>
    <w:rsid w:val="00F23AF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86"/>
    <w:pPr>
      <w:widowControl w:val="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8A1F86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uiPriority w:val="99"/>
    <w:rsid w:val="008A1F86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8A1F86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8A1F86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8A1F86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8A1F86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8A1F86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uiPriority w:val="99"/>
    <w:rsid w:val="008A1F86"/>
    <w:rPr>
      <w:b/>
      <w:bCs/>
    </w:rPr>
  </w:style>
  <w:style w:type="character" w:styleId="Numerwiersza">
    <w:name w:val="line number"/>
    <w:uiPriority w:val="99"/>
    <w:semiHidden/>
    <w:rsid w:val="008A1F86"/>
    <w:rPr>
      <w:rFonts w:cs="Times New Roman"/>
    </w:rPr>
  </w:style>
  <w:style w:type="character" w:styleId="Hipercze">
    <w:name w:val="Hyperlink"/>
    <w:uiPriority w:val="99"/>
    <w:rsid w:val="008A1F86"/>
    <w:rPr>
      <w:rFonts w:cs="Times New Roman"/>
      <w:color w:val="0000FF"/>
      <w:u w:val="single"/>
    </w:rPr>
  </w:style>
  <w:style w:type="table" w:styleId="Tabela-Prosty1">
    <w:name w:val="Table Simple 1"/>
    <w:basedOn w:val="Standardowy"/>
    <w:uiPriority w:val="99"/>
    <w:rsid w:val="008A1F86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7F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7FD8"/>
    <w:rPr>
      <w:rFonts w:ascii="Tahoma" w:hAnsi="Tahoma"/>
      <w:sz w:val="16"/>
    </w:rPr>
  </w:style>
  <w:style w:type="table" w:customStyle="1" w:styleId="Tabela-Prosty11">
    <w:name w:val="Tabela - Prosty 11"/>
    <w:uiPriority w:val="99"/>
    <w:rsid w:val="00127FD8"/>
    <w:pPr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Prosty12">
    <w:name w:val="Tabela - Prosty 12"/>
    <w:uiPriority w:val="99"/>
    <w:rsid w:val="001140F2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3285</Characters>
  <Application>Microsoft Office Word</Application>
  <DocSecurity>0</DocSecurity>
  <Lines>27</Lines>
  <Paragraphs>7</Paragraphs>
  <ScaleCrop>false</ScaleCrop>
  <Company>Sil-art Rycho444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2</dc:title>
  <dc:subject/>
  <dc:creator/>
  <cp:keywords/>
  <dc:description/>
  <cp:lastModifiedBy>BRDG</cp:lastModifiedBy>
  <cp:revision>4</cp:revision>
  <cp:lastPrinted>2025-07-31T13:44:00Z</cp:lastPrinted>
  <dcterms:created xsi:type="dcterms:W3CDTF">2025-09-23T20:38:00Z</dcterms:created>
  <dcterms:modified xsi:type="dcterms:W3CDTF">2025-10-07T07:42:00Z</dcterms:modified>
</cp:coreProperties>
</file>